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4A0B06" w14:textId="7169C482" w:rsidR="00D51982" w:rsidRDefault="00D51982" w:rsidP="007A3364">
      <w:pPr>
        <w:spacing w:after="160" w:line="259" w:lineRule="auto"/>
        <w:jc w:val="center"/>
        <w:rPr>
          <w:rFonts w:ascii="Calibri" w:eastAsia="Calibri" w:hAnsi="Calibri" w:cs="Times New Roman"/>
          <w:b/>
        </w:rPr>
      </w:pPr>
      <w:r>
        <w:rPr>
          <w:rFonts w:ascii="Calibri" w:eastAsia="Calibri" w:hAnsi="Calibri" w:cs="Times New Roman"/>
          <w:b/>
        </w:rPr>
        <w:t xml:space="preserve">MOISTURE ABSORPTION OF POLYSTYRENE FOAM INSULATIONS IS </w:t>
      </w:r>
      <w:r w:rsidR="00C65C3A">
        <w:rPr>
          <w:rFonts w:ascii="Calibri" w:eastAsia="Calibri" w:hAnsi="Calibri" w:cs="Times New Roman"/>
          <w:b/>
        </w:rPr>
        <w:t xml:space="preserve">THE </w:t>
      </w:r>
      <w:r>
        <w:rPr>
          <w:rFonts w:ascii="Calibri" w:eastAsia="Calibri" w:hAnsi="Calibri" w:cs="Times New Roman"/>
          <w:b/>
        </w:rPr>
        <w:t>FOCUS OF THREE NEW “TECHNICAL INSIGHTS</w:t>
      </w:r>
      <w:r w:rsidR="002B0571">
        <w:rPr>
          <w:rFonts w:ascii="Calibri" w:eastAsia="Calibri" w:hAnsi="Calibri" w:cs="Times New Roman"/>
          <w:b/>
        </w:rPr>
        <w:t>”</w:t>
      </w:r>
      <w:r>
        <w:rPr>
          <w:rFonts w:ascii="Calibri" w:eastAsia="Calibri" w:hAnsi="Calibri" w:cs="Times New Roman"/>
          <w:b/>
        </w:rPr>
        <w:t xml:space="preserve"> </w:t>
      </w:r>
      <w:r w:rsidR="002B0571">
        <w:rPr>
          <w:rFonts w:ascii="Calibri" w:eastAsia="Calibri" w:hAnsi="Calibri" w:cs="Times New Roman"/>
          <w:b/>
        </w:rPr>
        <w:t>F</w:t>
      </w:r>
      <w:r>
        <w:rPr>
          <w:rFonts w:ascii="Calibri" w:eastAsia="Calibri" w:hAnsi="Calibri" w:cs="Times New Roman"/>
          <w:b/>
        </w:rPr>
        <w:t>ROM XPSA</w:t>
      </w:r>
    </w:p>
    <w:p w14:paraId="283CF3AC" w14:textId="755F6D48" w:rsidR="002235A8" w:rsidRDefault="00D51982" w:rsidP="007A3364">
      <w:pPr>
        <w:spacing w:after="160" w:line="259" w:lineRule="auto"/>
        <w:jc w:val="center"/>
        <w:rPr>
          <w:rFonts w:ascii="Calibri" w:eastAsia="Calibri" w:hAnsi="Calibri" w:cs="Times New Roman"/>
          <w:i/>
        </w:rPr>
      </w:pPr>
      <w:r>
        <w:rPr>
          <w:rFonts w:ascii="Calibri" w:eastAsia="Calibri" w:hAnsi="Calibri" w:cs="Times New Roman"/>
          <w:i/>
        </w:rPr>
        <w:t xml:space="preserve">Fundamental Knowledge of Polystyrene Structure Is Essential to </w:t>
      </w:r>
      <w:r w:rsidR="002235A8">
        <w:rPr>
          <w:rFonts w:ascii="Calibri" w:eastAsia="Calibri" w:hAnsi="Calibri" w:cs="Times New Roman"/>
          <w:i/>
        </w:rPr>
        <w:t>Exercise Engineering Judgment in Specifying Foam Insulation in Applications Involving Prolonged Exposure to Moisture</w:t>
      </w:r>
    </w:p>
    <w:p w14:paraId="13C0CC28" w14:textId="5635E21B" w:rsidR="003119AC" w:rsidRDefault="007A3364" w:rsidP="007A3364">
      <w:pPr>
        <w:spacing w:after="160" w:line="259" w:lineRule="auto"/>
        <w:rPr>
          <w:rFonts w:ascii="Calibri" w:eastAsia="Calibri" w:hAnsi="Calibri" w:cs="Times New Roman"/>
        </w:rPr>
      </w:pPr>
      <w:r w:rsidRPr="007A3364">
        <w:rPr>
          <w:rFonts w:ascii="Calibri" w:eastAsia="Calibri" w:hAnsi="Calibri" w:cs="Times New Roman"/>
        </w:rPr>
        <w:t xml:space="preserve">Washington, D.C. – </w:t>
      </w:r>
      <w:r w:rsidR="002235A8">
        <w:rPr>
          <w:rFonts w:ascii="Calibri" w:eastAsia="Calibri" w:hAnsi="Calibri" w:cs="Times New Roman"/>
        </w:rPr>
        <w:t xml:space="preserve">Besides high thermal resistance per inch (R-Value per inch), density and compressive strength, one of the key properties of </w:t>
      </w:r>
      <w:r w:rsidR="003119AC">
        <w:rPr>
          <w:rFonts w:ascii="Calibri" w:eastAsia="Calibri" w:hAnsi="Calibri" w:cs="Times New Roman"/>
        </w:rPr>
        <w:t xml:space="preserve">extruded </w:t>
      </w:r>
      <w:r w:rsidR="002235A8">
        <w:rPr>
          <w:rFonts w:ascii="Calibri" w:eastAsia="Calibri" w:hAnsi="Calibri" w:cs="Times New Roman"/>
        </w:rPr>
        <w:t xml:space="preserve">polystyrene </w:t>
      </w:r>
      <w:r w:rsidR="003119AC">
        <w:rPr>
          <w:rFonts w:ascii="Calibri" w:eastAsia="Calibri" w:hAnsi="Calibri" w:cs="Times New Roman"/>
        </w:rPr>
        <w:t xml:space="preserve">(XPS) </w:t>
      </w:r>
      <w:r w:rsidR="002235A8">
        <w:rPr>
          <w:rFonts w:ascii="Calibri" w:eastAsia="Calibri" w:hAnsi="Calibri" w:cs="Times New Roman"/>
        </w:rPr>
        <w:t xml:space="preserve">foam insulation is </w:t>
      </w:r>
      <w:r w:rsidR="003119AC">
        <w:rPr>
          <w:rFonts w:ascii="Calibri" w:eastAsia="Calibri" w:hAnsi="Calibri" w:cs="Times New Roman"/>
        </w:rPr>
        <w:t xml:space="preserve">its low propensity for </w:t>
      </w:r>
      <w:r w:rsidR="002235A8">
        <w:rPr>
          <w:rFonts w:ascii="Calibri" w:eastAsia="Calibri" w:hAnsi="Calibri" w:cs="Times New Roman"/>
        </w:rPr>
        <w:t>moisture absorption</w:t>
      </w:r>
      <w:r w:rsidR="003119AC">
        <w:rPr>
          <w:rFonts w:ascii="Calibri" w:eastAsia="Calibri" w:hAnsi="Calibri" w:cs="Times New Roman"/>
        </w:rPr>
        <w:t xml:space="preserve"> even after years in service in direct contact with water</w:t>
      </w:r>
      <w:r w:rsidR="002235A8">
        <w:rPr>
          <w:rFonts w:ascii="Calibri" w:eastAsia="Calibri" w:hAnsi="Calibri" w:cs="Times New Roman"/>
        </w:rPr>
        <w:t>.</w:t>
      </w:r>
      <w:r w:rsidR="003119AC">
        <w:rPr>
          <w:rFonts w:ascii="Calibri" w:eastAsia="Calibri" w:hAnsi="Calibri" w:cs="Times New Roman"/>
        </w:rPr>
        <w:t xml:space="preserve"> The low percent volume of water content measured in samples removed from below grade applications is a consequence of the unique microstructure of XPS. </w:t>
      </w:r>
      <w:r w:rsidR="00FA7C3B">
        <w:rPr>
          <w:rFonts w:ascii="Calibri" w:eastAsia="Calibri" w:hAnsi="Calibri" w:cs="Times New Roman"/>
        </w:rPr>
        <w:t>The potential for m</w:t>
      </w:r>
      <w:r w:rsidR="003119AC">
        <w:rPr>
          <w:rFonts w:ascii="Calibri" w:eastAsia="Calibri" w:hAnsi="Calibri" w:cs="Times New Roman"/>
        </w:rPr>
        <w:t>oisture absorption is often overlooked in specifying foam insulation yet moisture content has a dramatic effect on R-Value.</w:t>
      </w:r>
    </w:p>
    <w:p w14:paraId="47B82C70" w14:textId="7D176A47" w:rsidR="003119AC" w:rsidRDefault="003119AC" w:rsidP="007A3364">
      <w:pPr>
        <w:spacing w:after="160" w:line="259" w:lineRule="auto"/>
        <w:rPr>
          <w:rFonts w:ascii="Calibri" w:eastAsia="Calibri" w:hAnsi="Calibri" w:cs="Times New Roman"/>
        </w:rPr>
      </w:pPr>
      <w:r>
        <w:rPr>
          <w:rFonts w:ascii="Calibri" w:eastAsia="Calibri" w:hAnsi="Calibri" w:cs="Times New Roman"/>
        </w:rPr>
        <w:t xml:space="preserve">The Extruded Polystyrene Association (XPSA) </w:t>
      </w:r>
      <w:r w:rsidR="00245291">
        <w:rPr>
          <w:rFonts w:ascii="Calibri" w:eastAsia="Calibri" w:hAnsi="Calibri" w:cs="Times New Roman"/>
        </w:rPr>
        <w:t>explain</w:t>
      </w:r>
      <w:r w:rsidR="0004329B">
        <w:rPr>
          <w:rFonts w:ascii="Calibri" w:eastAsia="Calibri" w:hAnsi="Calibri" w:cs="Times New Roman"/>
        </w:rPr>
        <w:t>s</w:t>
      </w:r>
      <w:r w:rsidR="00245291">
        <w:rPr>
          <w:rFonts w:ascii="Calibri" w:eastAsia="Calibri" w:hAnsi="Calibri" w:cs="Times New Roman"/>
        </w:rPr>
        <w:t xml:space="preserve"> the various aspects of moisture absorption in three new </w:t>
      </w:r>
      <w:r w:rsidR="008C09C4" w:rsidRPr="00245291">
        <w:rPr>
          <w:rFonts w:ascii="Calibri" w:eastAsia="Calibri" w:hAnsi="Calibri" w:cs="Times New Roman"/>
          <w:i/>
          <w:iCs/>
        </w:rPr>
        <w:t>Te</w:t>
      </w:r>
      <w:r w:rsidR="0004329B">
        <w:rPr>
          <w:rFonts w:ascii="Calibri" w:eastAsia="Calibri" w:hAnsi="Calibri" w:cs="Times New Roman"/>
          <w:i/>
          <w:iCs/>
        </w:rPr>
        <w:t>c</w:t>
      </w:r>
      <w:r w:rsidR="008C09C4" w:rsidRPr="00245291">
        <w:rPr>
          <w:rFonts w:ascii="Calibri" w:eastAsia="Calibri" w:hAnsi="Calibri" w:cs="Times New Roman"/>
          <w:i/>
          <w:iCs/>
        </w:rPr>
        <w:t>hnical Insights</w:t>
      </w:r>
      <w:r w:rsidR="004F2B61">
        <w:rPr>
          <w:rFonts w:ascii="Calibri" w:eastAsia="Calibri" w:hAnsi="Calibri" w:cs="Times New Roman"/>
        </w:rPr>
        <w:t>:</w:t>
      </w:r>
    </w:p>
    <w:p w14:paraId="63128F97" w14:textId="6172F2C0" w:rsidR="008C09C4" w:rsidRDefault="008C09C4" w:rsidP="00245291">
      <w:pPr>
        <w:pStyle w:val="ListParagraph"/>
        <w:numPr>
          <w:ilvl w:val="0"/>
          <w:numId w:val="3"/>
        </w:numPr>
        <w:spacing w:after="240"/>
        <w:contextualSpacing w:val="0"/>
        <w:rPr>
          <w:rFonts w:ascii="Calibri" w:eastAsia="Calibri" w:hAnsi="Calibri" w:cs="Times New Roman"/>
        </w:rPr>
      </w:pPr>
      <w:r w:rsidRPr="00245291">
        <w:rPr>
          <w:rFonts w:ascii="Calibri" w:eastAsia="Calibri" w:hAnsi="Calibri" w:cs="Times New Roman"/>
        </w:rPr>
        <w:t>Limitations of Short</w:t>
      </w:r>
      <w:r w:rsidR="00245291" w:rsidRPr="00245291">
        <w:rPr>
          <w:rFonts w:ascii="Calibri" w:eastAsia="Calibri" w:hAnsi="Calibri" w:cs="Times New Roman"/>
        </w:rPr>
        <w:t>-</w:t>
      </w:r>
      <w:r w:rsidRPr="00245291">
        <w:rPr>
          <w:rFonts w:ascii="Calibri" w:eastAsia="Calibri" w:hAnsi="Calibri" w:cs="Times New Roman"/>
        </w:rPr>
        <w:t xml:space="preserve">Term Testing of XPS and EPS Polystyrene Foam Insulation: An Overview of Moisture Absorption in Polystyrene Foam Insulations </w:t>
      </w:r>
    </w:p>
    <w:p w14:paraId="51730868" w14:textId="59BCF9CF" w:rsidR="008C09C4" w:rsidRPr="00245291" w:rsidRDefault="00245291" w:rsidP="00245291">
      <w:pPr>
        <w:pStyle w:val="ListParagraph"/>
        <w:numPr>
          <w:ilvl w:val="0"/>
          <w:numId w:val="3"/>
        </w:numPr>
        <w:spacing w:after="240"/>
        <w:contextualSpacing w:val="0"/>
        <w:rPr>
          <w:rFonts w:ascii="Calibri" w:eastAsia="Calibri" w:hAnsi="Calibri" w:cs="Times New Roman"/>
        </w:rPr>
      </w:pPr>
      <w:r w:rsidRPr="00245291">
        <w:rPr>
          <w:rFonts w:ascii="Calibri" w:eastAsia="Calibri" w:hAnsi="Calibri" w:cs="Times New Roman"/>
        </w:rPr>
        <w:t>Moisture Absorption Mechanisms in Polystyrene Foams Are Keys to Predicting Long-term Performance: XPS and EPS Behave Differently in Moist Below-Grade Applications</w:t>
      </w:r>
    </w:p>
    <w:p w14:paraId="399917A3" w14:textId="069A4C06" w:rsidR="002235A8" w:rsidRPr="00245291" w:rsidRDefault="008C09C4" w:rsidP="00245291">
      <w:pPr>
        <w:pStyle w:val="ListParagraph"/>
        <w:numPr>
          <w:ilvl w:val="0"/>
          <w:numId w:val="3"/>
        </w:numPr>
        <w:spacing w:after="240"/>
        <w:contextualSpacing w:val="0"/>
        <w:rPr>
          <w:rFonts w:ascii="Calibri" w:eastAsia="Calibri" w:hAnsi="Calibri" w:cs="Times New Roman"/>
        </w:rPr>
      </w:pPr>
      <w:r w:rsidRPr="00245291">
        <w:rPr>
          <w:rFonts w:ascii="Calibri" w:eastAsia="Calibri" w:hAnsi="Calibri" w:cs="Times New Roman"/>
        </w:rPr>
        <w:t>Simple Experiments Demonstrate How Water Moves More Freely through EPS than XPS</w:t>
      </w:r>
    </w:p>
    <w:p w14:paraId="13DFA560" w14:textId="193C0E49" w:rsidR="004F2B61" w:rsidRDefault="004F2B61" w:rsidP="007A3364">
      <w:pPr>
        <w:spacing w:after="160" w:line="259" w:lineRule="auto"/>
        <w:rPr>
          <w:rFonts w:ascii="Calibri" w:eastAsia="Calibri" w:hAnsi="Calibri" w:cs="Times New Roman"/>
        </w:rPr>
      </w:pPr>
      <w:r>
        <w:rPr>
          <w:rFonts w:ascii="Calibri" w:eastAsia="Calibri" w:hAnsi="Calibri" w:cs="Times New Roman"/>
        </w:rPr>
        <w:t xml:space="preserve">The first </w:t>
      </w:r>
      <w:r w:rsidR="007C627E" w:rsidRPr="0041431D">
        <w:rPr>
          <w:rFonts w:ascii="Calibri" w:eastAsia="Calibri" w:hAnsi="Calibri" w:cs="Times New Roman"/>
          <w:i/>
          <w:iCs/>
        </w:rPr>
        <w:t>Technical Insight</w:t>
      </w:r>
      <w:r w:rsidR="007C627E">
        <w:rPr>
          <w:rFonts w:ascii="Calibri" w:eastAsia="Calibri" w:hAnsi="Calibri" w:cs="Times New Roman"/>
        </w:rPr>
        <w:t xml:space="preserve"> </w:t>
      </w:r>
      <w:r w:rsidR="00D84713">
        <w:rPr>
          <w:rFonts w:ascii="Calibri" w:eastAsia="Calibri" w:hAnsi="Calibri" w:cs="Times New Roman"/>
        </w:rPr>
        <w:t xml:space="preserve">reviews </w:t>
      </w:r>
      <w:r>
        <w:rPr>
          <w:rFonts w:ascii="Calibri" w:eastAsia="Calibri" w:hAnsi="Calibri" w:cs="Times New Roman"/>
        </w:rPr>
        <w:t xml:space="preserve">well-known </w:t>
      </w:r>
      <w:r w:rsidR="0004329B">
        <w:rPr>
          <w:rFonts w:ascii="Calibri" w:eastAsia="Calibri" w:hAnsi="Calibri" w:cs="Times New Roman"/>
        </w:rPr>
        <w:t xml:space="preserve">technical papers, which </w:t>
      </w:r>
      <w:r>
        <w:rPr>
          <w:rFonts w:ascii="Calibri" w:eastAsia="Calibri" w:hAnsi="Calibri" w:cs="Times New Roman"/>
        </w:rPr>
        <w:t>stress</w:t>
      </w:r>
      <w:r w:rsidR="0041431D">
        <w:rPr>
          <w:rFonts w:ascii="Calibri" w:eastAsia="Calibri" w:hAnsi="Calibri" w:cs="Times New Roman"/>
        </w:rPr>
        <w:t xml:space="preserve"> </w:t>
      </w:r>
      <w:r>
        <w:rPr>
          <w:rFonts w:ascii="Calibri" w:eastAsia="Calibri" w:hAnsi="Calibri" w:cs="Times New Roman"/>
        </w:rPr>
        <w:t xml:space="preserve">the </w:t>
      </w:r>
      <w:r w:rsidR="0041431D">
        <w:rPr>
          <w:rFonts w:ascii="Calibri" w:eastAsia="Calibri" w:hAnsi="Calibri" w:cs="Times New Roman"/>
        </w:rPr>
        <w:t>importan</w:t>
      </w:r>
      <w:r w:rsidR="0004329B">
        <w:rPr>
          <w:rFonts w:ascii="Calibri" w:eastAsia="Calibri" w:hAnsi="Calibri" w:cs="Times New Roman"/>
        </w:rPr>
        <w:t>ce</w:t>
      </w:r>
      <w:r w:rsidR="0041431D">
        <w:rPr>
          <w:rFonts w:ascii="Calibri" w:eastAsia="Calibri" w:hAnsi="Calibri" w:cs="Times New Roman"/>
        </w:rPr>
        <w:t xml:space="preserve"> of </w:t>
      </w:r>
      <w:r>
        <w:rPr>
          <w:rFonts w:ascii="Calibri" w:eastAsia="Calibri" w:hAnsi="Calibri" w:cs="Times New Roman"/>
        </w:rPr>
        <w:t xml:space="preserve">moisture-absorption data </w:t>
      </w:r>
      <w:r w:rsidR="00B95230">
        <w:rPr>
          <w:rFonts w:ascii="Calibri" w:eastAsia="Calibri" w:hAnsi="Calibri" w:cs="Times New Roman"/>
        </w:rPr>
        <w:t xml:space="preserve">from </w:t>
      </w:r>
      <w:r>
        <w:rPr>
          <w:rFonts w:ascii="Calibri" w:eastAsia="Calibri" w:hAnsi="Calibri" w:cs="Times New Roman"/>
        </w:rPr>
        <w:t xml:space="preserve">samples </w:t>
      </w:r>
      <w:r w:rsidR="0041431D">
        <w:rPr>
          <w:rFonts w:ascii="Calibri" w:eastAsia="Calibri" w:hAnsi="Calibri" w:cs="Times New Roman"/>
        </w:rPr>
        <w:t xml:space="preserve">extracted </w:t>
      </w:r>
      <w:r>
        <w:rPr>
          <w:rFonts w:ascii="Calibri" w:eastAsia="Calibri" w:hAnsi="Calibri" w:cs="Times New Roman"/>
        </w:rPr>
        <w:t xml:space="preserve">from </w:t>
      </w:r>
      <w:r w:rsidR="00A12F19">
        <w:rPr>
          <w:rFonts w:ascii="Calibri" w:eastAsia="Calibri" w:hAnsi="Calibri" w:cs="Times New Roman"/>
        </w:rPr>
        <w:t xml:space="preserve">water-contact installations after </w:t>
      </w:r>
      <w:r>
        <w:rPr>
          <w:rFonts w:ascii="Calibri" w:eastAsia="Calibri" w:hAnsi="Calibri" w:cs="Times New Roman"/>
        </w:rPr>
        <w:t>long-term</w:t>
      </w:r>
      <w:r w:rsidR="00A12F19">
        <w:rPr>
          <w:rFonts w:ascii="Calibri" w:eastAsia="Calibri" w:hAnsi="Calibri" w:cs="Times New Roman"/>
        </w:rPr>
        <w:t xml:space="preserve"> exposure</w:t>
      </w:r>
      <w:r w:rsidR="00403655">
        <w:rPr>
          <w:rFonts w:ascii="Calibri" w:eastAsia="Calibri" w:hAnsi="Calibri" w:cs="Times New Roman"/>
        </w:rPr>
        <w:t xml:space="preserve"> up to 30 years</w:t>
      </w:r>
      <w:r>
        <w:rPr>
          <w:rFonts w:ascii="Calibri" w:eastAsia="Calibri" w:hAnsi="Calibri" w:cs="Times New Roman"/>
        </w:rPr>
        <w:t xml:space="preserve">. </w:t>
      </w:r>
      <w:r w:rsidR="00AB7DDF">
        <w:rPr>
          <w:rFonts w:ascii="Calibri" w:eastAsia="Calibri" w:hAnsi="Calibri" w:cs="Times New Roman"/>
        </w:rPr>
        <w:t xml:space="preserve">It </w:t>
      </w:r>
      <w:r>
        <w:rPr>
          <w:rFonts w:ascii="Calibri" w:eastAsia="Calibri" w:hAnsi="Calibri" w:cs="Times New Roman"/>
        </w:rPr>
        <w:t xml:space="preserve">includes </w:t>
      </w:r>
      <w:r w:rsidR="0041431D">
        <w:rPr>
          <w:rFonts w:ascii="Calibri" w:eastAsia="Calibri" w:hAnsi="Calibri" w:cs="Times New Roman"/>
        </w:rPr>
        <w:t xml:space="preserve">fourteen </w:t>
      </w:r>
      <w:r>
        <w:rPr>
          <w:rFonts w:ascii="Calibri" w:eastAsia="Calibri" w:hAnsi="Calibri" w:cs="Times New Roman"/>
        </w:rPr>
        <w:t xml:space="preserve">references to </w:t>
      </w:r>
      <w:r w:rsidR="0041431D">
        <w:rPr>
          <w:rFonts w:ascii="Calibri" w:eastAsia="Calibri" w:hAnsi="Calibri" w:cs="Times New Roman"/>
        </w:rPr>
        <w:t xml:space="preserve">research from notable authors spanning nearly 50 years of polystyrene </w:t>
      </w:r>
      <w:r w:rsidR="00E13BB6">
        <w:rPr>
          <w:rFonts w:ascii="Calibri" w:eastAsia="Calibri" w:hAnsi="Calibri" w:cs="Times New Roman"/>
        </w:rPr>
        <w:t xml:space="preserve">foam insulation </w:t>
      </w:r>
      <w:r w:rsidR="0041431D">
        <w:rPr>
          <w:rFonts w:ascii="Calibri" w:eastAsia="Calibri" w:hAnsi="Calibri" w:cs="Times New Roman"/>
        </w:rPr>
        <w:t xml:space="preserve">research. </w:t>
      </w:r>
    </w:p>
    <w:p w14:paraId="091B4529" w14:textId="0DAF3F3F" w:rsidR="00BD02BC" w:rsidRDefault="0041431D" w:rsidP="007A3364">
      <w:pPr>
        <w:spacing w:after="160" w:line="259" w:lineRule="auto"/>
        <w:rPr>
          <w:rFonts w:ascii="Calibri" w:eastAsia="Calibri" w:hAnsi="Calibri" w:cs="Times New Roman"/>
        </w:rPr>
      </w:pPr>
      <w:r>
        <w:rPr>
          <w:rFonts w:ascii="Calibri" w:eastAsia="Calibri" w:hAnsi="Calibri" w:cs="Times New Roman"/>
        </w:rPr>
        <w:t xml:space="preserve">The second </w:t>
      </w:r>
      <w:r w:rsidR="007C627E" w:rsidRPr="0041431D">
        <w:rPr>
          <w:rFonts w:ascii="Calibri" w:eastAsia="Calibri" w:hAnsi="Calibri" w:cs="Times New Roman"/>
          <w:i/>
          <w:iCs/>
        </w:rPr>
        <w:t>Technical Insight</w:t>
      </w:r>
      <w:r w:rsidR="007C627E">
        <w:rPr>
          <w:rFonts w:ascii="Calibri" w:eastAsia="Calibri" w:hAnsi="Calibri" w:cs="Times New Roman"/>
        </w:rPr>
        <w:t xml:space="preserve"> </w:t>
      </w:r>
      <w:r w:rsidR="004C05D2">
        <w:rPr>
          <w:rFonts w:ascii="Calibri" w:eastAsia="Calibri" w:hAnsi="Calibri" w:cs="Times New Roman"/>
        </w:rPr>
        <w:t xml:space="preserve">highlights </w:t>
      </w:r>
      <w:r>
        <w:rPr>
          <w:rFonts w:ascii="Calibri" w:eastAsia="Calibri" w:hAnsi="Calibri" w:cs="Times New Roman"/>
        </w:rPr>
        <w:t>the physical mechanisms that contribute to moisture absorption</w:t>
      </w:r>
      <w:r w:rsidR="00934494">
        <w:rPr>
          <w:rFonts w:ascii="Calibri" w:eastAsia="Calibri" w:hAnsi="Calibri" w:cs="Times New Roman"/>
        </w:rPr>
        <w:t>.</w:t>
      </w:r>
      <w:r w:rsidR="00BC5D0A">
        <w:rPr>
          <w:rFonts w:ascii="Calibri" w:eastAsia="Calibri" w:hAnsi="Calibri" w:cs="Times New Roman"/>
        </w:rPr>
        <w:t xml:space="preserve"> </w:t>
      </w:r>
      <w:r w:rsidR="006A243F">
        <w:rPr>
          <w:rFonts w:ascii="Calibri" w:eastAsia="Calibri" w:hAnsi="Calibri" w:cs="Times New Roman"/>
        </w:rPr>
        <w:t>C</w:t>
      </w:r>
      <w:r>
        <w:rPr>
          <w:rFonts w:ascii="Calibri" w:eastAsia="Calibri" w:hAnsi="Calibri" w:cs="Times New Roman"/>
        </w:rPr>
        <w:t>apillary action</w:t>
      </w:r>
      <w:r w:rsidR="006A243F">
        <w:rPr>
          <w:rFonts w:ascii="Calibri" w:eastAsia="Calibri" w:hAnsi="Calibri" w:cs="Times New Roman"/>
        </w:rPr>
        <w:t xml:space="preserve"> is</w:t>
      </w:r>
      <w:r>
        <w:rPr>
          <w:rFonts w:ascii="Calibri" w:eastAsia="Calibri" w:hAnsi="Calibri" w:cs="Times New Roman"/>
        </w:rPr>
        <w:t xml:space="preserve"> </w:t>
      </w:r>
      <w:r w:rsidR="0004329B">
        <w:rPr>
          <w:rFonts w:ascii="Calibri" w:eastAsia="Calibri" w:hAnsi="Calibri" w:cs="Times New Roman"/>
        </w:rPr>
        <w:t xml:space="preserve">the </w:t>
      </w:r>
      <w:r>
        <w:rPr>
          <w:rFonts w:ascii="Calibri" w:eastAsia="Calibri" w:hAnsi="Calibri" w:cs="Times New Roman"/>
        </w:rPr>
        <w:t>dominant mechanism in expanded polystyrene (EPS)</w:t>
      </w:r>
      <w:r w:rsidR="006A243F">
        <w:rPr>
          <w:rFonts w:ascii="Calibri" w:eastAsia="Calibri" w:hAnsi="Calibri" w:cs="Times New Roman"/>
        </w:rPr>
        <w:t xml:space="preserve"> while diffusion is </w:t>
      </w:r>
      <w:r w:rsidR="00AE42E2">
        <w:rPr>
          <w:rFonts w:ascii="Calibri" w:eastAsia="Calibri" w:hAnsi="Calibri" w:cs="Times New Roman"/>
        </w:rPr>
        <w:t>present in both XPS and EPS</w:t>
      </w:r>
      <w:r w:rsidR="00716E09">
        <w:rPr>
          <w:rFonts w:ascii="Calibri" w:eastAsia="Calibri" w:hAnsi="Calibri" w:cs="Times New Roman"/>
        </w:rPr>
        <w:t>. (See Figure 1.)</w:t>
      </w:r>
    </w:p>
    <w:p w14:paraId="7E864864" w14:textId="1D8D22CF" w:rsidR="00BD02BC" w:rsidRDefault="00946C5B" w:rsidP="007A3364">
      <w:pPr>
        <w:spacing w:after="160" w:line="259" w:lineRule="auto"/>
        <w:rPr>
          <w:rFonts w:ascii="Calibri" w:eastAsia="Calibri" w:hAnsi="Calibri" w:cs="Times New Roman"/>
        </w:rPr>
      </w:pPr>
      <w:r w:rsidRPr="00946C5B">
        <w:rPr>
          <w:rFonts w:ascii="Calibri" w:eastAsia="Calibri" w:hAnsi="Calibri" w:cs="Times New Roman"/>
          <w:noProof/>
        </w:rPr>
        <w:drawing>
          <wp:inline distT="0" distB="0" distL="0" distR="0" wp14:anchorId="6B328DFF" wp14:editId="2AA51722">
            <wp:extent cx="2686050" cy="2171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0" cy="2171700"/>
                    </a:xfrm>
                    <a:prstGeom prst="rect">
                      <a:avLst/>
                    </a:prstGeom>
                    <a:noFill/>
                    <a:ln>
                      <a:noFill/>
                    </a:ln>
                  </pic:spPr>
                </pic:pic>
              </a:graphicData>
            </a:graphic>
          </wp:inline>
        </w:drawing>
      </w:r>
      <w:r w:rsidR="007F095C">
        <w:rPr>
          <w:rFonts w:ascii="Calibri" w:eastAsia="Calibri" w:hAnsi="Calibri" w:cs="Times New Roman"/>
          <w:noProof/>
        </w:rPr>
        <w:t xml:space="preserve">    </w:t>
      </w:r>
      <w:r w:rsidR="007F095C" w:rsidRPr="007F095C">
        <w:rPr>
          <w:rFonts w:ascii="Calibri" w:eastAsia="Calibri" w:hAnsi="Calibri" w:cs="Times New Roman"/>
          <w:noProof/>
        </w:rPr>
        <w:drawing>
          <wp:inline distT="0" distB="0" distL="0" distR="0" wp14:anchorId="72376DCF" wp14:editId="1ACD8700">
            <wp:extent cx="3117850" cy="2144958"/>
            <wp:effectExtent l="0" t="0" r="635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1418" cy="2154292"/>
                    </a:xfrm>
                    <a:prstGeom prst="rect">
                      <a:avLst/>
                    </a:prstGeom>
                    <a:noFill/>
                    <a:ln>
                      <a:noFill/>
                    </a:ln>
                  </pic:spPr>
                </pic:pic>
              </a:graphicData>
            </a:graphic>
          </wp:inline>
        </w:drawing>
      </w:r>
    </w:p>
    <w:p w14:paraId="2540DC4F" w14:textId="0BA20A95" w:rsidR="004F2B61" w:rsidRPr="00D11E88" w:rsidRDefault="00D11E88" w:rsidP="007A3364">
      <w:pPr>
        <w:spacing w:after="160" w:line="259" w:lineRule="auto"/>
        <w:rPr>
          <w:rFonts w:ascii="Calibri" w:eastAsia="Calibri" w:hAnsi="Calibri" w:cs="Times New Roman"/>
          <w:b/>
          <w:bCs/>
        </w:rPr>
      </w:pPr>
      <w:r w:rsidRPr="00D11E88">
        <w:rPr>
          <w:rFonts w:ascii="Calibri" w:eastAsia="Calibri" w:hAnsi="Calibri" w:cs="Times New Roman"/>
          <w:b/>
          <w:bCs/>
        </w:rPr>
        <w:t xml:space="preserve">Figure 1. </w:t>
      </w:r>
      <w:r w:rsidR="007F095C" w:rsidRPr="00D11E88">
        <w:rPr>
          <w:rFonts w:ascii="Calibri" w:eastAsia="Calibri" w:hAnsi="Calibri" w:cs="Times New Roman"/>
          <w:b/>
          <w:bCs/>
        </w:rPr>
        <w:t xml:space="preserve">EPS (left) </w:t>
      </w:r>
      <w:r w:rsidRPr="00D11E88">
        <w:rPr>
          <w:rFonts w:ascii="Calibri" w:eastAsia="Calibri" w:hAnsi="Calibri" w:cs="Times New Roman"/>
          <w:b/>
          <w:bCs/>
        </w:rPr>
        <w:t>and XPS (right) have different structures as viewed under a microscope.</w:t>
      </w:r>
    </w:p>
    <w:p w14:paraId="5579803A" w14:textId="1713FFA1" w:rsidR="00DF612E" w:rsidRDefault="000D2F5A" w:rsidP="007A3364">
      <w:pPr>
        <w:spacing w:after="160" w:line="259" w:lineRule="auto"/>
        <w:rPr>
          <w:rFonts w:ascii="Calibri" w:eastAsia="Calibri" w:hAnsi="Calibri" w:cs="Times New Roman"/>
        </w:rPr>
      </w:pPr>
      <w:r>
        <w:rPr>
          <w:rFonts w:ascii="Calibri" w:eastAsia="Calibri" w:hAnsi="Calibri" w:cs="Times New Roman"/>
        </w:rPr>
        <w:lastRenderedPageBreak/>
        <w:t xml:space="preserve">Finally, the third </w:t>
      </w:r>
      <w:r w:rsidR="00AB7DDF" w:rsidRPr="0041431D">
        <w:rPr>
          <w:rFonts w:ascii="Calibri" w:eastAsia="Calibri" w:hAnsi="Calibri" w:cs="Times New Roman"/>
          <w:i/>
          <w:iCs/>
        </w:rPr>
        <w:t>Technical Insight</w:t>
      </w:r>
      <w:r w:rsidR="00AB7DDF">
        <w:rPr>
          <w:rFonts w:ascii="Calibri" w:eastAsia="Calibri" w:hAnsi="Calibri" w:cs="Times New Roman"/>
        </w:rPr>
        <w:t xml:space="preserve"> </w:t>
      </w:r>
      <w:r w:rsidR="00217801">
        <w:rPr>
          <w:rFonts w:ascii="Calibri" w:eastAsia="Calibri" w:hAnsi="Calibri" w:cs="Times New Roman"/>
        </w:rPr>
        <w:t xml:space="preserve">illustrates </w:t>
      </w:r>
      <w:r w:rsidR="00BC1903">
        <w:rPr>
          <w:rFonts w:ascii="Calibri" w:eastAsia="Calibri" w:hAnsi="Calibri" w:cs="Times New Roman"/>
        </w:rPr>
        <w:t xml:space="preserve">how </w:t>
      </w:r>
      <w:r w:rsidR="00217801">
        <w:rPr>
          <w:rFonts w:ascii="Calibri" w:eastAsia="Calibri" w:hAnsi="Calibri" w:cs="Times New Roman"/>
        </w:rPr>
        <w:t>microstructure</w:t>
      </w:r>
      <w:r w:rsidR="009142DD">
        <w:rPr>
          <w:rFonts w:ascii="Calibri" w:eastAsia="Calibri" w:hAnsi="Calibri" w:cs="Times New Roman"/>
        </w:rPr>
        <w:t xml:space="preserve">s </w:t>
      </w:r>
      <w:r w:rsidR="00217801">
        <w:rPr>
          <w:rFonts w:ascii="Calibri" w:eastAsia="Calibri" w:hAnsi="Calibri" w:cs="Times New Roman"/>
        </w:rPr>
        <w:t xml:space="preserve">of EPS and XPS contribute to </w:t>
      </w:r>
      <w:r w:rsidR="00FB3F7E">
        <w:rPr>
          <w:rFonts w:ascii="Calibri" w:eastAsia="Calibri" w:hAnsi="Calibri" w:cs="Times New Roman"/>
        </w:rPr>
        <w:t>differences in moisture absorption.</w:t>
      </w:r>
      <w:r w:rsidR="00BC1903">
        <w:rPr>
          <w:rFonts w:ascii="Calibri" w:eastAsia="Calibri" w:hAnsi="Calibri" w:cs="Times New Roman"/>
        </w:rPr>
        <w:t xml:space="preserve"> </w:t>
      </w:r>
      <w:r w:rsidR="0004329B">
        <w:rPr>
          <w:rFonts w:ascii="Calibri" w:eastAsia="Calibri" w:hAnsi="Calibri" w:cs="Times New Roman"/>
        </w:rPr>
        <w:t xml:space="preserve">The side-by-side images at the same scale </w:t>
      </w:r>
      <w:r>
        <w:rPr>
          <w:rFonts w:ascii="Calibri" w:eastAsia="Calibri" w:hAnsi="Calibri" w:cs="Times New Roman"/>
        </w:rPr>
        <w:t>clearly show</w:t>
      </w:r>
      <w:r w:rsidR="0004329B">
        <w:rPr>
          <w:rFonts w:ascii="Calibri" w:eastAsia="Calibri" w:hAnsi="Calibri" w:cs="Times New Roman"/>
        </w:rPr>
        <w:t xml:space="preserve"> </w:t>
      </w:r>
      <w:r>
        <w:rPr>
          <w:rFonts w:ascii="Calibri" w:eastAsia="Calibri" w:hAnsi="Calibri" w:cs="Times New Roman"/>
        </w:rPr>
        <w:t>the essential difference between EPS and XPS</w:t>
      </w:r>
      <w:r w:rsidR="00803DA3">
        <w:rPr>
          <w:rFonts w:ascii="Calibri" w:eastAsia="Calibri" w:hAnsi="Calibri" w:cs="Times New Roman"/>
        </w:rPr>
        <w:t>. (See Figure 2.)</w:t>
      </w:r>
      <w:r w:rsidR="0004329B">
        <w:rPr>
          <w:rFonts w:ascii="Calibri" w:eastAsia="Calibri" w:hAnsi="Calibri" w:cs="Times New Roman"/>
        </w:rPr>
        <w:t xml:space="preserve"> T</w:t>
      </w:r>
      <w:r>
        <w:rPr>
          <w:rFonts w:ascii="Calibri" w:eastAsia="Calibri" w:hAnsi="Calibri" w:cs="Times New Roman"/>
        </w:rPr>
        <w:t>he consequence</w:t>
      </w:r>
      <w:r w:rsidR="0051186D">
        <w:rPr>
          <w:rFonts w:ascii="Calibri" w:eastAsia="Calibri" w:hAnsi="Calibri" w:cs="Times New Roman"/>
        </w:rPr>
        <w:t>s</w:t>
      </w:r>
      <w:r>
        <w:rPr>
          <w:rFonts w:ascii="Calibri" w:eastAsia="Calibri" w:hAnsi="Calibri" w:cs="Times New Roman"/>
        </w:rPr>
        <w:t xml:space="preserve"> of these different structures </w:t>
      </w:r>
      <w:r w:rsidR="00CC2F65">
        <w:rPr>
          <w:rFonts w:ascii="Calibri" w:eastAsia="Calibri" w:hAnsi="Calibri" w:cs="Times New Roman"/>
        </w:rPr>
        <w:t xml:space="preserve">are </w:t>
      </w:r>
      <w:r>
        <w:rPr>
          <w:rFonts w:ascii="Calibri" w:eastAsia="Calibri" w:hAnsi="Calibri" w:cs="Times New Roman"/>
        </w:rPr>
        <w:t xml:space="preserve">illustrated by two simple </w:t>
      </w:r>
      <w:r w:rsidR="00FE150A">
        <w:rPr>
          <w:rFonts w:ascii="Calibri" w:eastAsia="Calibri" w:hAnsi="Calibri" w:cs="Times New Roman"/>
        </w:rPr>
        <w:t xml:space="preserve">experiments </w:t>
      </w:r>
      <w:r>
        <w:rPr>
          <w:rFonts w:ascii="Calibri" w:eastAsia="Calibri" w:hAnsi="Calibri" w:cs="Times New Roman"/>
        </w:rPr>
        <w:t>of the capillary action</w:t>
      </w:r>
      <w:r w:rsidR="00DF612E">
        <w:rPr>
          <w:rFonts w:ascii="Calibri" w:eastAsia="Calibri" w:hAnsi="Calibri" w:cs="Times New Roman"/>
        </w:rPr>
        <w:t xml:space="preserve"> using dyed water. The absorption of dyed water through the </w:t>
      </w:r>
      <w:r>
        <w:rPr>
          <w:rFonts w:ascii="Calibri" w:eastAsia="Calibri" w:hAnsi="Calibri" w:cs="Times New Roman"/>
        </w:rPr>
        <w:t xml:space="preserve">voids and channels </w:t>
      </w:r>
      <w:r w:rsidR="00DF612E">
        <w:rPr>
          <w:rFonts w:ascii="Calibri" w:eastAsia="Calibri" w:hAnsi="Calibri" w:cs="Times New Roman"/>
        </w:rPr>
        <w:t xml:space="preserve">of </w:t>
      </w:r>
      <w:r w:rsidR="00C67729">
        <w:rPr>
          <w:rFonts w:ascii="Calibri" w:eastAsia="Calibri" w:hAnsi="Calibri" w:cs="Times New Roman"/>
        </w:rPr>
        <w:t xml:space="preserve">EPS </w:t>
      </w:r>
      <w:r w:rsidR="00DF612E">
        <w:rPr>
          <w:rFonts w:ascii="Calibri" w:eastAsia="Calibri" w:hAnsi="Calibri" w:cs="Times New Roman"/>
        </w:rPr>
        <w:t>stands in stark contrast to the lack of absorption of dyed water by XPS.</w:t>
      </w:r>
    </w:p>
    <w:p w14:paraId="71842309" w14:textId="392C2A9A" w:rsidR="00281F53" w:rsidRDefault="00847E16" w:rsidP="00847E16">
      <w:pPr>
        <w:spacing w:after="160" w:line="259" w:lineRule="auto"/>
        <w:jc w:val="right"/>
        <w:rPr>
          <w:rFonts w:ascii="Calibri" w:eastAsia="Calibri" w:hAnsi="Calibri" w:cs="Times New Roman"/>
        </w:rPr>
      </w:pPr>
      <w:r w:rsidRPr="00847E16">
        <w:rPr>
          <w:rFonts w:ascii="Calibri" w:eastAsia="Calibri" w:hAnsi="Calibri" w:cs="Times New Roman"/>
          <w:noProof/>
        </w:rPr>
        <w:drawing>
          <wp:inline distT="0" distB="0" distL="0" distR="0" wp14:anchorId="452869A0" wp14:editId="6DB38CE6">
            <wp:extent cx="5943600" cy="3762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762375"/>
                    </a:xfrm>
                    <a:prstGeom prst="rect">
                      <a:avLst/>
                    </a:prstGeom>
                    <a:noFill/>
                    <a:ln>
                      <a:noFill/>
                    </a:ln>
                  </pic:spPr>
                </pic:pic>
              </a:graphicData>
            </a:graphic>
          </wp:inline>
        </w:drawing>
      </w:r>
    </w:p>
    <w:p w14:paraId="05C58CF5" w14:textId="4B1D80B4" w:rsidR="003C4944" w:rsidRPr="00D11E88" w:rsidRDefault="003C4944" w:rsidP="003C4944">
      <w:pPr>
        <w:spacing w:after="160" w:line="259" w:lineRule="auto"/>
        <w:rPr>
          <w:rFonts w:ascii="Calibri" w:eastAsia="Calibri" w:hAnsi="Calibri" w:cs="Times New Roman"/>
          <w:b/>
          <w:bCs/>
        </w:rPr>
      </w:pPr>
      <w:r w:rsidRPr="00D11E88">
        <w:rPr>
          <w:rFonts w:ascii="Calibri" w:eastAsia="Calibri" w:hAnsi="Calibri" w:cs="Times New Roman"/>
          <w:b/>
          <w:bCs/>
        </w:rPr>
        <w:t xml:space="preserve">Figure </w:t>
      </w:r>
      <w:r w:rsidR="0068568A">
        <w:rPr>
          <w:rFonts w:ascii="Calibri" w:eastAsia="Calibri" w:hAnsi="Calibri" w:cs="Times New Roman"/>
          <w:b/>
          <w:bCs/>
        </w:rPr>
        <w:t>2</w:t>
      </w:r>
      <w:r w:rsidRPr="00D11E88">
        <w:rPr>
          <w:rFonts w:ascii="Calibri" w:eastAsia="Calibri" w:hAnsi="Calibri" w:cs="Times New Roman"/>
          <w:b/>
          <w:bCs/>
        </w:rPr>
        <w:t xml:space="preserve">. EPS and XPS </w:t>
      </w:r>
      <w:r>
        <w:rPr>
          <w:rFonts w:ascii="Calibri" w:eastAsia="Calibri" w:hAnsi="Calibri" w:cs="Times New Roman"/>
          <w:b/>
          <w:bCs/>
        </w:rPr>
        <w:t>microgr</w:t>
      </w:r>
      <w:r w:rsidR="0068568A">
        <w:rPr>
          <w:rFonts w:ascii="Calibri" w:eastAsia="Calibri" w:hAnsi="Calibri" w:cs="Times New Roman"/>
          <w:b/>
          <w:bCs/>
        </w:rPr>
        <w:t xml:space="preserve">aphs </w:t>
      </w:r>
      <w:r>
        <w:rPr>
          <w:rFonts w:ascii="Calibri" w:eastAsia="Calibri" w:hAnsi="Calibri" w:cs="Times New Roman"/>
          <w:b/>
          <w:bCs/>
        </w:rPr>
        <w:t>side-by-side with graphic representations of moisture.</w:t>
      </w:r>
    </w:p>
    <w:p w14:paraId="064531E5" w14:textId="259158EB" w:rsidR="00C67729" w:rsidRDefault="00DF612E" w:rsidP="002B0571">
      <w:pPr>
        <w:spacing w:after="160" w:line="259" w:lineRule="auto"/>
        <w:rPr>
          <w:rFonts w:ascii="Calibri" w:eastAsia="Calibri" w:hAnsi="Calibri" w:cs="Times New Roman"/>
        </w:rPr>
      </w:pPr>
      <w:r>
        <w:rPr>
          <w:rFonts w:ascii="Calibri" w:eastAsia="Calibri" w:hAnsi="Calibri" w:cs="Times New Roman"/>
        </w:rPr>
        <w:t xml:space="preserve">For deeper insights into the moisture mechanisms of polystyrene foam insulations, </w:t>
      </w:r>
      <w:r w:rsidR="00212B05">
        <w:rPr>
          <w:rFonts w:ascii="Calibri" w:eastAsia="Calibri" w:hAnsi="Calibri" w:cs="Times New Roman"/>
        </w:rPr>
        <w:t>refer to</w:t>
      </w:r>
      <w:r>
        <w:rPr>
          <w:rFonts w:ascii="Calibri" w:eastAsia="Calibri" w:hAnsi="Calibri" w:cs="Times New Roman"/>
        </w:rPr>
        <w:t xml:space="preserve"> </w:t>
      </w:r>
      <w:r w:rsidR="002B0571">
        <w:rPr>
          <w:rFonts w:ascii="Calibri" w:eastAsia="Calibri" w:hAnsi="Calibri" w:cs="Times New Roman"/>
        </w:rPr>
        <w:t>“</w:t>
      </w:r>
      <w:r w:rsidR="002B0571" w:rsidRPr="002B0571">
        <w:rPr>
          <w:rFonts w:ascii="Calibri" w:eastAsia="Calibri" w:hAnsi="Calibri" w:cs="Times New Roman"/>
        </w:rPr>
        <w:t>Effects of Moisture Absorption Mechanisms on In-Service Design R-Values of ‎Polystyrene Insulation</w:t>
      </w:r>
      <w:r w:rsidR="002B0571">
        <w:rPr>
          <w:rFonts w:ascii="Calibri" w:eastAsia="Calibri" w:hAnsi="Calibri" w:cs="Times New Roman"/>
        </w:rPr>
        <w:t xml:space="preserve">: </w:t>
      </w:r>
      <w:r w:rsidR="002B0571" w:rsidRPr="002B0571">
        <w:rPr>
          <w:rFonts w:ascii="Calibri" w:eastAsia="Calibri" w:hAnsi="Calibri" w:cs="Times New Roman"/>
        </w:rPr>
        <w:t>XPS and EPS Behave Differently in Moist Below-Grade Applications</w:t>
      </w:r>
      <w:r w:rsidR="002B0571">
        <w:rPr>
          <w:rFonts w:ascii="Calibri" w:eastAsia="Calibri" w:hAnsi="Calibri" w:cs="Times New Roman"/>
        </w:rPr>
        <w:t xml:space="preserve">” (13 pages, </w:t>
      </w:r>
      <w:r w:rsidR="00CC2F65">
        <w:rPr>
          <w:rFonts w:ascii="Calibri" w:eastAsia="Calibri" w:hAnsi="Calibri" w:cs="Times New Roman"/>
        </w:rPr>
        <w:t>f</w:t>
      </w:r>
      <w:r w:rsidR="002B0571">
        <w:rPr>
          <w:rFonts w:ascii="Calibri" w:eastAsia="Calibri" w:hAnsi="Calibri" w:cs="Times New Roman"/>
        </w:rPr>
        <w:t xml:space="preserve">our </w:t>
      </w:r>
      <w:r w:rsidR="00CC2F65">
        <w:rPr>
          <w:rFonts w:ascii="Calibri" w:eastAsia="Calibri" w:hAnsi="Calibri" w:cs="Times New Roman"/>
        </w:rPr>
        <w:t>f</w:t>
      </w:r>
      <w:r w:rsidR="002B0571">
        <w:rPr>
          <w:rFonts w:ascii="Calibri" w:eastAsia="Calibri" w:hAnsi="Calibri" w:cs="Times New Roman"/>
        </w:rPr>
        <w:t>igures and 22 references)</w:t>
      </w:r>
      <w:r w:rsidR="00C67729">
        <w:rPr>
          <w:rFonts w:ascii="Calibri" w:eastAsia="Calibri" w:hAnsi="Calibri" w:cs="Times New Roman"/>
        </w:rPr>
        <w:t>.</w:t>
      </w:r>
    </w:p>
    <w:p w14:paraId="107A6CC3" w14:textId="12B57BE4" w:rsidR="002B0571" w:rsidRDefault="003A3482" w:rsidP="002B0571">
      <w:pPr>
        <w:spacing w:after="160" w:line="259" w:lineRule="auto"/>
        <w:rPr>
          <w:rFonts w:ascii="Calibri" w:eastAsia="Calibri" w:hAnsi="Calibri" w:cs="Times New Roman"/>
        </w:rPr>
      </w:pPr>
      <w:r>
        <w:rPr>
          <w:rFonts w:ascii="Calibri" w:eastAsia="Calibri" w:hAnsi="Calibri" w:cs="Times New Roman"/>
        </w:rPr>
        <w:t>These are all</w:t>
      </w:r>
      <w:r w:rsidR="00C67729">
        <w:rPr>
          <w:rFonts w:ascii="Calibri" w:eastAsia="Calibri" w:hAnsi="Calibri" w:cs="Times New Roman"/>
        </w:rPr>
        <w:t xml:space="preserve"> are </w:t>
      </w:r>
      <w:r w:rsidR="002B0571">
        <w:rPr>
          <w:rFonts w:ascii="Calibri" w:eastAsia="Calibri" w:hAnsi="Calibri" w:cs="Times New Roman"/>
        </w:rPr>
        <w:t xml:space="preserve">available </w:t>
      </w:r>
      <w:r w:rsidR="00625D24">
        <w:rPr>
          <w:rFonts w:ascii="Calibri" w:eastAsia="Calibri" w:hAnsi="Calibri" w:cs="Times New Roman"/>
        </w:rPr>
        <w:t xml:space="preserve">for downloading from </w:t>
      </w:r>
      <w:r w:rsidR="002B0571">
        <w:rPr>
          <w:rFonts w:ascii="Calibri" w:eastAsia="Calibri" w:hAnsi="Calibri" w:cs="Times New Roman"/>
        </w:rPr>
        <w:t>XPSA</w:t>
      </w:r>
      <w:r w:rsidR="00625D24">
        <w:rPr>
          <w:rFonts w:ascii="Calibri" w:eastAsia="Calibri" w:hAnsi="Calibri" w:cs="Times New Roman"/>
        </w:rPr>
        <w:t>’s</w:t>
      </w:r>
      <w:r w:rsidR="002B0571">
        <w:rPr>
          <w:rFonts w:ascii="Calibri" w:eastAsia="Calibri" w:hAnsi="Calibri" w:cs="Times New Roman"/>
        </w:rPr>
        <w:t xml:space="preserve"> </w:t>
      </w:r>
      <w:r w:rsidR="00625D24">
        <w:rPr>
          <w:rFonts w:ascii="Calibri" w:eastAsia="Calibri" w:hAnsi="Calibri" w:cs="Times New Roman"/>
        </w:rPr>
        <w:t>“</w:t>
      </w:r>
      <w:r w:rsidR="002B0571">
        <w:rPr>
          <w:rFonts w:ascii="Calibri" w:eastAsia="Calibri" w:hAnsi="Calibri" w:cs="Times New Roman"/>
        </w:rPr>
        <w:t xml:space="preserve">Technical </w:t>
      </w:r>
      <w:r w:rsidR="001F1D1B">
        <w:rPr>
          <w:rFonts w:ascii="Calibri" w:eastAsia="Calibri" w:hAnsi="Calibri" w:cs="Times New Roman"/>
        </w:rPr>
        <w:t>Information</w:t>
      </w:r>
      <w:r w:rsidR="00625D24">
        <w:rPr>
          <w:rFonts w:ascii="Calibri" w:eastAsia="Calibri" w:hAnsi="Calibri" w:cs="Times New Roman"/>
        </w:rPr>
        <w:t>”</w:t>
      </w:r>
      <w:r w:rsidR="001F1D1B">
        <w:rPr>
          <w:rFonts w:ascii="Calibri" w:eastAsia="Calibri" w:hAnsi="Calibri" w:cs="Times New Roman"/>
        </w:rPr>
        <w:t xml:space="preserve"> </w:t>
      </w:r>
      <w:r w:rsidR="00FB11AE">
        <w:rPr>
          <w:rFonts w:ascii="Calibri" w:eastAsia="Calibri" w:hAnsi="Calibri" w:cs="Times New Roman"/>
        </w:rPr>
        <w:t>web</w:t>
      </w:r>
      <w:r w:rsidR="002B0571">
        <w:rPr>
          <w:rFonts w:ascii="Calibri" w:eastAsia="Calibri" w:hAnsi="Calibri" w:cs="Times New Roman"/>
        </w:rPr>
        <w:t>page</w:t>
      </w:r>
      <w:r w:rsidR="00DD2DB7">
        <w:rPr>
          <w:rFonts w:ascii="Calibri" w:eastAsia="Calibri" w:hAnsi="Calibri" w:cs="Times New Roman"/>
        </w:rPr>
        <w:t xml:space="preserve"> at </w:t>
      </w:r>
      <w:hyperlink r:id="rId13" w:history="1">
        <w:r w:rsidR="00DD2DB7" w:rsidRPr="008B71FB">
          <w:rPr>
            <w:rStyle w:val="Hyperlink"/>
            <w:rFonts w:ascii="Calibri" w:eastAsia="Calibri" w:hAnsi="Calibri" w:cs="Times New Roman"/>
          </w:rPr>
          <w:t>https://xpsa.com/technical-information/</w:t>
        </w:r>
      </w:hyperlink>
      <w:r w:rsidR="0099618F">
        <w:rPr>
          <w:rFonts w:ascii="Calibri" w:eastAsia="Calibri" w:hAnsi="Calibri" w:cs="Times New Roman"/>
        </w:rPr>
        <w:t>.</w:t>
      </w:r>
      <w:r w:rsidR="00FB11AE">
        <w:rPr>
          <w:rFonts w:ascii="Calibri" w:eastAsia="Calibri" w:hAnsi="Calibri" w:cs="Times New Roman"/>
        </w:rPr>
        <w:t xml:space="preserve"> </w:t>
      </w:r>
      <w:r w:rsidR="00C67729">
        <w:rPr>
          <w:rFonts w:ascii="Calibri" w:eastAsia="Calibri" w:hAnsi="Calibri" w:cs="Times New Roman"/>
        </w:rPr>
        <w:t xml:space="preserve">The new white paper </w:t>
      </w:r>
      <w:r w:rsidR="002B0571">
        <w:rPr>
          <w:rFonts w:ascii="Calibri" w:eastAsia="Calibri" w:hAnsi="Calibri" w:cs="Times New Roman"/>
        </w:rPr>
        <w:t xml:space="preserve">is the second in the </w:t>
      </w:r>
      <w:r w:rsidR="0099618F">
        <w:rPr>
          <w:rFonts w:ascii="Calibri" w:eastAsia="Calibri" w:hAnsi="Calibri" w:cs="Times New Roman"/>
        </w:rPr>
        <w:t xml:space="preserve">XPSA </w:t>
      </w:r>
      <w:r w:rsidR="002B0571">
        <w:rPr>
          <w:rFonts w:ascii="Calibri" w:eastAsia="Calibri" w:hAnsi="Calibri" w:cs="Times New Roman"/>
        </w:rPr>
        <w:t>Insulation Performance Series.</w:t>
      </w:r>
    </w:p>
    <w:p w14:paraId="56C44BD1" w14:textId="77777777" w:rsidR="007A3364" w:rsidRPr="007A3364" w:rsidRDefault="007A3364" w:rsidP="007A3364">
      <w:pPr>
        <w:spacing w:after="160" w:line="259" w:lineRule="auto"/>
        <w:rPr>
          <w:rFonts w:ascii="Calibri" w:eastAsia="Calibri" w:hAnsi="Calibri" w:cs="Times New Roman"/>
          <w:b/>
        </w:rPr>
      </w:pPr>
      <w:r w:rsidRPr="007A3364">
        <w:rPr>
          <w:rFonts w:ascii="Calibri" w:eastAsia="Calibri" w:hAnsi="Calibri" w:cs="Times New Roman"/>
          <w:b/>
        </w:rPr>
        <w:t>ABOUT XPSA</w:t>
      </w:r>
    </w:p>
    <w:p w14:paraId="4FB8DA5C" w14:textId="77777777" w:rsidR="002C0A35" w:rsidRDefault="007A3364" w:rsidP="00EF668F">
      <w:pPr>
        <w:spacing w:after="160" w:line="259" w:lineRule="auto"/>
        <w:rPr>
          <w:rFonts w:ascii="Calibri" w:eastAsia="Calibri" w:hAnsi="Calibri" w:cs="Times New Roman"/>
        </w:rPr>
      </w:pPr>
      <w:r w:rsidRPr="007A3364">
        <w:rPr>
          <w:rFonts w:ascii="Calibri" w:eastAsia="Calibri" w:hAnsi="Calibri" w:cs="Times New Roman"/>
        </w:rPr>
        <w:t>XPSA represents all major extruded polystyrene (XPS) foam insulation manufacturers in North America. The association and its members are committed to the safety and integrity of XPS products. They invite interested parties seeking additional information to visit XPSA online at www.xpsa.com or to email office@xpsa.com</w:t>
      </w:r>
      <w:r w:rsidRPr="007A3364">
        <w:rPr>
          <w:rFonts w:ascii="Calibri" w:eastAsia="Calibri" w:hAnsi="Calibri" w:cs="Times New Roman"/>
        </w:rPr>
        <w:cr/>
      </w:r>
    </w:p>
    <w:p w14:paraId="0CEFA685" w14:textId="325A5D44" w:rsidR="00427570" w:rsidRPr="00427570" w:rsidRDefault="007A3364" w:rsidP="002C0A35">
      <w:pPr>
        <w:spacing w:after="160" w:line="259" w:lineRule="auto"/>
        <w:jc w:val="center"/>
      </w:pPr>
      <w:r w:rsidRPr="007A3364">
        <w:rPr>
          <w:rFonts w:ascii="Calibri" w:eastAsia="Calibri" w:hAnsi="Calibri" w:cs="Times New Roman"/>
        </w:rPr>
        <w:t># # #</w:t>
      </w:r>
      <w:r w:rsidR="00427570">
        <w:rPr>
          <w:noProof/>
        </w:rPr>
        <w:drawing>
          <wp:anchor distT="0" distB="0" distL="114300" distR="114300" simplePos="0" relativeHeight="251658240" behindDoc="1" locked="1" layoutInCell="1" allowOverlap="1" wp14:anchorId="60D3F543" wp14:editId="3E74E6FA">
            <wp:simplePos x="0" y="0"/>
            <wp:positionH relativeFrom="column">
              <wp:posOffset>3771900</wp:posOffset>
            </wp:positionH>
            <wp:positionV relativeFrom="page">
              <wp:posOffset>7086600</wp:posOffset>
            </wp:positionV>
            <wp:extent cx="4067175" cy="3028950"/>
            <wp:effectExtent l="0" t="0" r="9525" b="0"/>
            <wp:wrapNone/>
            <wp:docPr id="2" name="Picture 2" descr="diam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mon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7175" cy="30289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27570" w:rsidRPr="00427570" w:rsidSect="00427570">
      <w:headerReference w:type="first" r:id="rId15"/>
      <w:footerReference w:type="first" r:id="rId16"/>
      <w:pgSz w:w="12240" w:h="15840"/>
      <w:pgMar w:top="1440" w:right="1440" w:bottom="1440" w:left="144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021171" w14:textId="77777777" w:rsidR="00F91311" w:rsidRDefault="00F91311" w:rsidP="00427570">
      <w:r>
        <w:separator/>
      </w:r>
    </w:p>
  </w:endnote>
  <w:endnote w:type="continuationSeparator" w:id="0">
    <w:p w14:paraId="369E42E0" w14:textId="77777777" w:rsidR="00F91311" w:rsidRDefault="00F91311" w:rsidP="00427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30E1D" w14:textId="77777777" w:rsidR="00427570" w:rsidRDefault="00427570">
    <w:pPr>
      <w:pStyle w:val="Footer"/>
    </w:pPr>
    <w:r>
      <w:rPr>
        <w:noProof/>
      </w:rPr>
      <w:drawing>
        <wp:anchor distT="0" distB="0" distL="114300" distR="114300" simplePos="0" relativeHeight="251660288" behindDoc="1" locked="1" layoutInCell="1" allowOverlap="1" wp14:anchorId="6840D7B6" wp14:editId="1AA04AB2">
          <wp:simplePos x="0" y="0"/>
          <wp:positionH relativeFrom="column">
            <wp:posOffset>3771900</wp:posOffset>
          </wp:positionH>
          <wp:positionV relativeFrom="page">
            <wp:posOffset>7086600</wp:posOffset>
          </wp:positionV>
          <wp:extent cx="4067175" cy="3028950"/>
          <wp:effectExtent l="0" t="0" r="9525" b="0"/>
          <wp:wrapNone/>
          <wp:docPr id="1" name="Picture 1" descr="diam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mond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7175" cy="3028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E5B7E0" w14:textId="77777777" w:rsidR="00F91311" w:rsidRDefault="00F91311" w:rsidP="00427570">
      <w:r>
        <w:separator/>
      </w:r>
    </w:p>
  </w:footnote>
  <w:footnote w:type="continuationSeparator" w:id="0">
    <w:p w14:paraId="515748A5" w14:textId="77777777" w:rsidR="00F91311" w:rsidRDefault="00F91311" w:rsidP="004275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ACE8A" w14:textId="77777777" w:rsidR="00427570" w:rsidRPr="00DB6314" w:rsidRDefault="00427570" w:rsidP="00427570">
    <w:pPr>
      <w:widowControl w:val="0"/>
      <w:autoSpaceDE w:val="0"/>
      <w:autoSpaceDN w:val="0"/>
      <w:adjustRightInd w:val="0"/>
      <w:spacing w:before="69"/>
      <w:ind w:right="-720"/>
      <w:jc w:val="right"/>
      <w:rPr>
        <w:rFonts w:ascii="Calibri" w:hAnsi="Calibri" w:cs="Tahoma"/>
        <w:color w:val="000000"/>
        <w:sz w:val="18"/>
      </w:rPr>
    </w:pPr>
    <w:r w:rsidRPr="00DB6314">
      <w:rPr>
        <w:rFonts w:ascii="Calibri" w:hAnsi="Calibri"/>
        <w:noProof/>
        <w:sz w:val="18"/>
      </w:rPr>
      <w:drawing>
        <wp:anchor distT="0" distB="0" distL="114300" distR="114300" simplePos="0" relativeHeight="251659264" behindDoc="0" locked="0" layoutInCell="1" allowOverlap="1" wp14:anchorId="43D958BA" wp14:editId="042DB336">
          <wp:simplePos x="0" y="0"/>
          <wp:positionH relativeFrom="column">
            <wp:posOffset>-657225</wp:posOffset>
          </wp:positionH>
          <wp:positionV relativeFrom="paragraph">
            <wp:posOffset>-6350</wp:posOffset>
          </wp:positionV>
          <wp:extent cx="2413000" cy="819150"/>
          <wp:effectExtent l="0" t="0" r="6350" b="0"/>
          <wp:wrapNone/>
          <wp:docPr id="51" name="Picture 51" descr="XPSA_EPFA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SA_EPFA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30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936">
      <w:rPr>
        <w:rFonts w:ascii="Calibri" w:hAnsi="Calibri" w:cs="Tahoma"/>
        <w:color w:val="000000"/>
        <w:sz w:val="18"/>
      </w:rPr>
      <w:t>1280</w:t>
    </w:r>
    <w:r w:rsidRPr="00DB6314">
      <w:rPr>
        <w:rFonts w:ascii="Calibri" w:hAnsi="Calibri" w:cs="Tahoma"/>
        <w:color w:val="000000"/>
        <w:sz w:val="18"/>
      </w:rPr>
      <w:t xml:space="preserve"> National Press Building</w:t>
    </w:r>
  </w:p>
  <w:p w14:paraId="15B26924" w14:textId="77777777" w:rsidR="00427570" w:rsidRDefault="00427570" w:rsidP="00427570">
    <w:pPr>
      <w:widowControl w:val="0"/>
      <w:autoSpaceDE w:val="0"/>
      <w:autoSpaceDN w:val="0"/>
      <w:adjustRightInd w:val="0"/>
      <w:spacing w:before="11" w:line="250" w:lineRule="auto"/>
      <w:ind w:left="1260" w:right="-720" w:firstLine="148"/>
      <w:jc w:val="right"/>
      <w:rPr>
        <w:rFonts w:ascii="Calibri" w:hAnsi="Calibri" w:cs="Tahoma"/>
        <w:color w:val="000000"/>
        <w:sz w:val="18"/>
      </w:rPr>
    </w:pPr>
    <w:r w:rsidRPr="00DB6314">
      <w:rPr>
        <w:rFonts w:ascii="Calibri" w:hAnsi="Calibri" w:cs="Tahoma"/>
        <w:color w:val="000000"/>
        <w:sz w:val="18"/>
      </w:rPr>
      <w:t xml:space="preserve">529 14th Street NW </w:t>
    </w:r>
  </w:p>
  <w:p w14:paraId="787837DB" w14:textId="77777777" w:rsidR="00427570" w:rsidRDefault="00427570" w:rsidP="00427570">
    <w:pPr>
      <w:widowControl w:val="0"/>
      <w:autoSpaceDE w:val="0"/>
      <w:autoSpaceDN w:val="0"/>
      <w:adjustRightInd w:val="0"/>
      <w:spacing w:before="11" w:line="250" w:lineRule="auto"/>
      <w:ind w:left="1260" w:right="-720" w:firstLine="148"/>
      <w:jc w:val="right"/>
      <w:rPr>
        <w:rFonts w:ascii="Calibri" w:hAnsi="Calibri" w:cs="Tahoma"/>
        <w:color w:val="000000"/>
        <w:sz w:val="18"/>
      </w:rPr>
    </w:pPr>
    <w:r w:rsidRPr="00DB6314">
      <w:rPr>
        <w:rFonts w:ascii="Calibri" w:hAnsi="Calibri" w:cs="Tahoma"/>
        <w:color w:val="000000"/>
        <w:sz w:val="18"/>
      </w:rPr>
      <w:t xml:space="preserve">Washington, DC 20045 </w:t>
    </w:r>
  </w:p>
  <w:p w14:paraId="3703CC16" w14:textId="77777777" w:rsidR="00427570" w:rsidRDefault="00427570" w:rsidP="00427570">
    <w:pPr>
      <w:widowControl w:val="0"/>
      <w:autoSpaceDE w:val="0"/>
      <w:autoSpaceDN w:val="0"/>
      <w:adjustRightInd w:val="0"/>
      <w:ind w:left="-540" w:right="-720"/>
      <w:jc w:val="right"/>
      <w:rPr>
        <w:rFonts w:ascii="Calibri" w:hAnsi="Calibri" w:cs="Tahoma"/>
        <w:color w:val="000000"/>
        <w:sz w:val="18"/>
      </w:rPr>
    </w:pPr>
    <w:r w:rsidRPr="00DB6314">
      <w:rPr>
        <w:rFonts w:ascii="Calibri" w:hAnsi="Calibri" w:cs="Tahoma"/>
        <w:color w:val="000000"/>
        <w:sz w:val="18"/>
      </w:rPr>
      <w:t>Phone: (202) 591-</w:t>
    </w:r>
    <w:r>
      <w:rPr>
        <w:rFonts w:ascii="Calibri" w:hAnsi="Calibri" w:cs="Tahoma"/>
        <w:color w:val="000000"/>
        <w:sz w:val="18"/>
      </w:rPr>
      <w:t>2466</w:t>
    </w:r>
    <w:r w:rsidRPr="00DB6314">
      <w:rPr>
        <w:rFonts w:ascii="Calibri" w:hAnsi="Calibri" w:cs="Tahoma"/>
        <w:color w:val="000000"/>
        <w:sz w:val="18"/>
      </w:rPr>
      <w:t xml:space="preserve">  </w:t>
    </w:r>
  </w:p>
  <w:p w14:paraId="27B947D4" w14:textId="77777777" w:rsidR="00427570" w:rsidRPr="00DB6314" w:rsidRDefault="00427570" w:rsidP="00427570">
    <w:pPr>
      <w:widowControl w:val="0"/>
      <w:autoSpaceDE w:val="0"/>
      <w:autoSpaceDN w:val="0"/>
      <w:adjustRightInd w:val="0"/>
      <w:ind w:left="-540" w:right="-720"/>
      <w:jc w:val="right"/>
      <w:rPr>
        <w:rFonts w:ascii="Calibri" w:hAnsi="Calibri" w:cs="Tahoma"/>
        <w:color w:val="000000"/>
        <w:sz w:val="18"/>
      </w:rPr>
    </w:pPr>
    <w:r>
      <w:rPr>
        <w:rFonts w:ascii="Calibri" w:hAnsi="Calibri" w:cs="Tahoma"/>
        <w:color w:val="000000"/>
        <w:sz w:val="18"/>
      </w:rPr>
      <w:t>Fax: (202) 591-2445</w:t>
    </w:r>
  </w:p>
  <w:p w14:paraId="0A054FB5" w14:textId="77777777" w:rsidR="00427570" w:rsidRPr="00DB6314" w:rsidRDefault="00427570" w:rsidP="00427570">
    <w:pPr>
      <w:widowControl w:val="0"/>
      <w:autoSpaceDE w:val="0"/>
      <w:autoSpaceDN w:val="0"/>
      <w:adjustRightInd w:val="0"/>
      <w:spacing w:before="11"/>
      <w:ind w:right="-720"/>
      <w:jc w:val="right"/>
      <w:rPr>
        <w:rFonts w:ascii="Calibri" w:hAnsi="Calibri"/>
        <w:sz w:val="18"/>
      </w:rPr>
    </w:pPr>
    <w:r w:rsidRPr="00DB6314">
      <w:rPr>
        <w:rFonts w:ascii="Calibri" w:hAnsi="Calibri" w:cs="Tahoma"/>
        <w:color w:val="000000"/>
        <w:sz w:val="18"/>
      </w:rPr>
      <w:t xml:space="preserve">Website: </w:t>
    </w:r>
    <w:hyperlink r:id="rId2" w:history="1">
      <w:r w:rsidRPr="00DB6314">
        <w:rPr>
          <w:rFonts w:ascii="Calibri" w:hAnsi="Calibri" w:cs="Tahoma"/>
          <w:color w:val="000000"/>
          <w:sz w:val="18"/>
        </w:rPr>
        <w:t>www.xpsa.com</w:t>
      </w:r>
    </w:hyperlink>
  </w:p>
  <w:p w14:paraId="08CF955E" w14:textId="77777777" w:rsidR="00427570" w:rsidRDefault="004275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0723FE"/>
    <w:multiLevelType w:val="hybridMultilevel"/>
    <w:tmpl w:val="CA72FE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E006A9"/>
    <w:multiLevelType w:val="hybridMultilevel"/>
    <w:tmpl w:val="7DDAB0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E52278"/>
    <w:multiLevelType w:val="hybridMultilevel"/>
    <w:tmpl w:val="24C87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570"/>
    <w:rsid w:val="0004329B"/>
    <w:rsid w:val="000C3B1C"/>
    <w:rsid w:val="000D2F5A"/>
    <w:rsid w:val="000E4D45"/>
    <w:rsid w:val="001359A8"/>
    <w:rsid w:val="0014394D"/>
    <w:rsid w:val="001D3381"/>
    <w:rsid w:val="001F1D1B"/>
    <w:rsid w:val="00212B05"/>
    <w:rsid w:val="00217801"/>
    <w:rsid w:val="002235A8"/>
    <w:rsid w:val="00244D23"/>
    <w:rsid w:val="00245291"/>
    <w:rsid w:val="0025174D"/>
    <w:rsid w:val="00281F53"/>
    <w:rsid w:val="00291158"/>
    <w:rsid w:val="002A3677"/>
    <w:rsid w:val="002B0571"/>
    <w:rsid w:val="002C0A35"/>
    <w:rsid w:val="003023AF"/>
    <w:rsid w:val="003119AC"/>
    <w:rsid w:val="003263BB"/>
    <w:rsid w:val="00375E26"/>
    <w:rsid w:val="003A3482"/>
    <w:rsid w:val="003C4944"/>
    <w:rsid w:val="00403655"/>
    <w:rsid w:val="0041431D"/>
    <w:rsid w:val="00427570"/>
    <w:rsid w:val="004344BB"/>
    <w:rsid w:val="004C05D2"/>
    <w:rsid w:val="004F2B61"/>
    <w:rsid w:val="0051186D"/>
    <w:rsid w:val="005C3BC2"/>
    <w:rsid w:val="005C5615"/>
    <w:rsid w:val="00612FC2"/>
    <w:rsid w:val="00625D24"/>
    <w:rsid w:val="0068568A"/>
    <w:rsid w:val="006A243F"/>
    <w:rsid w:val="006A6716"/>
    <w:rsid w:val="00716E09"/>
    <w:rsid w:val="00761A9D"/>
    <w:rsid w:val="007A3364"/>
    <w:rsid w:val="007C627E"/>
    <w:rsid w:val="007F095C"/>
    <w:rsid w:val="00803DA3"/>
    <w:rsid w:val="00840936"/>
    <w:rsid w:val="00847E16"/>
    <w:rsid w:val="008A4F29"/>
    <w:rsid w:val="008C09C4"/>
    <w:rsid w:val="008E46D1"/>
    <w:rsid w:val="008F0EF6"/>
    <w:rsid w:val="009142DD"/>
    <w:rsid w:val="00934494"/>
    <w:rsid w:val="00946C5B"/>
    <w:rsid w:val="0099618F"/>
    <w:rsid w:val="00A12F19"/>
    <w:rsid w:val="00AB7DDF"/>
    <w:rsid w:val="00AE42E2"/>
    <w:rsid w:val="00AF27FD"/>
    <w:rsid w:val="00AF3F29"/>
    <w:rsid w:val="00B2625F"/>
    <w:rsid w:val="00B502B1"/>
    <w:rsid w:val="00B61959"/>
    <w:rsid w:val="00B87A2A"/>
    <w:rsid w:val="00B95230"/>
    <w:rsid w:val="00BC1903"/>
    <w:rsid w:val="00BC2F9A"/>
    <w:rsid w:val="00BC5D0A"/>
    <w:rsid w:val="00BD02BC"/>
    <w:rsid w:val="00C41620"/>
    <w:rsid w:val="00C43759"/>
    <w:rsid w:val="00C50BFD"/>
    <w:rsid w:val="00C65C3A"/>
    <w:rsid w:val="00C67729"/>
    <w:rsid w:val="00CC2F65"/>
    <w:rsid w:val="00D11E88"/>
    <w:rsid w:val="00D51982"/>
    <w:rsid w:val="00D84713"/>
    <w:rsid w:val="00DC7C82"/>
    <w:rsid w:val="00DD2DB7"/>
    <w:rsid w:val="00DF612E"/>
    <w:rsid w:val="00E13BB6"/>
    <w:rsid w:val="00E86D90"/>
    <w:rsid w:val="00EF668F"/>
    <w:rsid w:val="00F438FF"/>
    <w:rsid w:val="00F90375"/>
    <w:rsid w:val="00F91311"/>
    <w:rsid w:val="00F92295"/>
    <w:rsid w:val="00FA5C63"/>
    <w:rsid w:val="00FA7C3B"/>
    <w:rsid w:val="00FB11AE"/>
    <w:rsid w:val="00FB3F7E"/>
    <w:rsid w:val="00FE15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4B79547"/>
  <w15:docId w15:val="{7F15900C-D07D-41F0-B42A-7198074BA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944"/>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C7C82"/>
    <w:pPr>
      <w:spacing w:after="0" w:line="240" w:lineRule="auto"/>
    </w:pPr>
  </w:style>
  <w:style w:type="paragraph" w:styleId="Header">
    <w:name w:val="header"/>
    <w:basedOn w:val="Normal"/>
    <w:link w:val="HeaderChar"/>
    <w:uiPriority w:val="99"/>
    <w:unhideWhenUsed/>
    <w:rsid w:val="00427570"/>
    <w:pPr>
      <w:tabs>
        <w:tab w:val="center" w:pos="4680"/>
        <w:tab w:val="right" w:pos="9360"/>
      </w:tabs>
    </w:pPr>
  </w:style>
  <w:style w:type="character" w:customStyle="1" w:styleId="HeaderChar">
    <w:name w:val="Header Char"/>
    <w:basedOn w:val="DefaultParagraphFont"/>
    <w:link w:val="Header"/>
    <w:uiPriority w:val="99"/>
    <w:rsid w:val="00427570"/>
  </w:style>
  <w:style w:type="paragraph" w:styleId="Footer">
    <w:name w:val="footer"/>
    <w:basedOn w:val="Normal"/>
    <w:link w:val="FooterChar"/>
    <w:uiPriority w:val="99"/>
    <w:unhideWhenUsed/>
    <w:rsid w:val="00427570"/>
    <w:pPr>
      <w:tabs>
        <w:tab w:val="center" w:pos="4680"/>
        <w:tab w:val="right" w:pos="9360"/>
      </w:tabs>
    </w:pPr>
  </w:style>
  <w:style w:type="character" w:customStyle="1" w:styleId="FooterChar">
    <w:name w:val="Footer Char"/>
    <w:basedOn w:val="DefaultParagraphFont"/>
    <w:link w:val="Footer"/>
    <w:uiPriority w:val="99"/>
    <w:rsid w:val="00427570"/>
  </w:style>
  <w:style w:type="paragraph" w:styleId="ListParagraph">
    <w:name w:val="List Paragraph"/>
    <w:basedOn w:val="Normal"/>
    <w:uiPriority w:val="34"/>
    <w:qFormat/>
    <w:rsid w:val="008C09C4"/>
    <w:pPr>
      <w:ind w:left="720"/>
      <w:contextualSpacing/>
    </w:pPr>
  </w:style>
  <w:style w:type="character" w:styleId="Hyperlink">
    <w:name w:val="Hyperlink"/>
    <w:basedOn w:val="DefaultParagraphFont"/>
    <w:uiPriority w:val="99"/>
    <w:unhideWhenUsed/>
    <w:rsid w:val="00C67729"/>
    <w:rPr>
      <w:color w:val="0000FF" w:themeColor="hyperlink"/>
      <w:u w:val="single"/>
    </w:rPr>
  </w:style>
  <w:style w:type="character" w:styleId="UnresolvedMention">
    <w:name w:val="Unresolved Mention"/>
    <w:basedOn w:val="DefaultParagraphFont"/>
    <w:uiPriority w:val="99"/>
    <w:semiHidden/>
    <w:unhideWhenUsed/>
    <w:rsid w:val="00C67729"/>
    <w:rPr>
      <w:color w:val="605E5C"/>
      <w:shd w:val="clear" w:color="auto" w:fill="E1DFDD"/>
    </w:rPr>
  </w:style>
  <w:style w:type="paragraph" w:styleId="BalloonText">
    <w:name w:val="Balloon Text"/>
    <w:basedOn w:val="Normal"/>
    <w:link w:val="BalloonTextChar"/>
    <w:uiPriority w:val="99"/>
    <w:semiHidden/>
    <w:unhideWhenUsed/>
    <w:rsid w:val="00C437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759"/>
    <w:rPr>
      <w:rFonts w:ascii="Segoe UI" w:hAnsi="Segoe UI" w:cs="Segoe UI"/>
      <w:sz w:val="18"/>
      <w:szCs w:val="18"/>
    </w:rPr>
  </w:style>
  <w:style w:type="character" w:styleId="CommentReference">
    <w:name w:val="annotation reference"/>
    <w:basedOn w:val="DefaultParagraphFont"/>
    <w:uiPriority w:val="99"/>
    <w:semiHidden/>
    <w:unhideWhenUsed/>
    <w:rsid w:val="00F92295"/>
    <w:rPr>
      <w:sz w:val="16"/>
      <w:szCs w:val="16"/>
    </w:rPr>
  </w:style>
  <w:style w:type="paragraph" w:styleId="CommentText">
    <w:name w:val="annotation text"/>
    <w:basedOn w:val="Normal"/>
    <w:link w:val="CommentTextChar"/>
    <w:uiPriority w:val="99"/>
    <w:semiHidden/>
    <w:unhideWhenUsed/>
    <w:rsid w:val="00F92295"/>
    <w:rPr>
      <w:sz w:val="20"/>
      <w:szCs w:val="20"/>
    </w:rPr>
  </w:style>
  <w:style w:type="character" w:customStyle="1" w:styleId="CommentTextChar">
    <w:name w:val="Comment Text Char"/>
    <w:basedOn w:val="DefaultParagraphFont"/>
    <w:link w:val="CommentText"/>
    <w:uiPriority w:val="99"/>
    <w:semiHidden/>
    <w:rsid w:val="00F92295"/>
    <w:rPr>
      <w:sz w:val="20"/>
      <w:szCs w:val="20"/>
    </w:rPr>
  </w:style>
  <w:style w:type="paragraph" w:styleId="CommentSubject">
    <w:name w:val="annotation subject"/>
    <w:basedOn w:val="CommentText"/>
    <w:next w:val="CommentText"/>
    <w:link w:val="CommentSubjectChar"/>
    <w:uiPriority w:val="99"/>
    <w:semiHidden/>
    <w:unhideWhenUsed/>
    <w:rsid w:val="00F92295"/>
    <w:rPr>
      <w:b/>
      <w:bCs/>
    </w:rPr>
  </w:style>
  <w:style w:type="character" w:customStyle="1" w:styleId="CommentSubjectChar">
    <w:name w:val="Comment Subject Char"/>
    <w:basedOn w:val="CommentTextChar"/>
    <w:link w:val="CommentSubject"/>
    <w:uiPriority w:val="99"/>
    <w:semiHidden/>
    <w:rsid w:val="00F9229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xpsa.com/technical-information/"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hyperlink" Target="http://www.xpsa.com"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ED6D27B5D38F94CA98DB19B4D125734" ma:contentTypeVersion="10" ma:contentTypeDescription="Create a new document." ma:contentTypeScope="" ma:versionID="9a88a24578ac0bbe85bf21a50d0b13eb">
  <xsd:schema xmlns:xsd="http://www.w3.org/2001/XMLSchema" xmlns:xs="http://www.w3.org/2001/XMLSchema" xmlns:p="http://schemas.microsoft.com/office/2006/metadata/properties" xmlns:ns3="b7dc17c2-5a54-4be8-9149-f6384aeff1bc" targetNamespace="http://schemas.microsoft.com/office/2006/metadata/properties" ma:root="true" ma:fieldsID="d398b4b17a5334c3ed64f9fea3ce9dff" ns3:_="">
    <xsd:import namespace="b7dc17c2-5a54-4be8-9149-f6384aeff1b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dc17c2-5a54-4be8-9149-f6384aeff1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A0B25A-A4DD-496A-B684-6CC306D3CCA5}">
  <ds:schemaRefs>
    <ds:schemaRef ds:uri="http://purl.org/dc/elements/1.1/"/>
    <ds:schemaRef ds:uri="http://schemas.microsoft.com/office/2006/metadata/properties"/>
    <ds:schemaRef ds:uri="http://purl.org/dc/terms/"/>
    <ds:schemaRef ds:uri="http://www.w3.org/XML/1998/namespace"/>
    <ds:schemaRef ds:uri="b7dc17c2-5a54-4be8-9149-f6384aeff1bc"/>
    <ds:schemaRef ds:uri="http://schemas.microsoft.com/office/2006/documentManagement/types"/>
    <ds:schemaRef ds:uri="http://schemas.openxmlformats.org/package/2006/metadata/core-properti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A6CD656D-D048-48BC-AC16-F44C216FB054}">
  <ds:schemaRefs>
    <ds:schemaRef ds:uri="http://schemas.microsoft.com/sharepoint/v3/contenttype/forms"/>
  </ds:schemaRefs>
</ds:datastoreItem>
</file>

<file path=customXml/itemProps3.xml><?xml version="1.0" encoding="utf-8"?>
<ds:datastoreItem xmlns:ds="http://schemas.openxmlformats.org/officeDocument/2006/customXml" ds:itemID="{ADA5C219-D43A-4BAD-AF82-14494AE260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dc17c2-5a54-4be8-9149-f6384aeff1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537</Words>
  <Characters>3064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Kellen Company</Company>
  <LinksUpToDate>false</LinksUpToDate>
  <CharactersWithSpaces>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Franklin, Kelly</dc:creator>
  <cp:lastModifiedBy>Schmitz, Harry</cp:lastModifiedBy>
  <cp:revision>4</cp:revision>
  <cp:lastPrinted>2021-06-11T20:46:00Z</cp:lastPrinted>
  <dcterms:created xsi:type="dcterms:W3CDTF">2021-06-11T20:48:00Z</dcterms:created>
  <dcterms:modified xsi:type="dcterms:W3CDTF">2021-06-11T21:16:00Z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0x010100EED6D27B5D38F94CA98DB19B4D125734</vt:lpwstr>
  </property>
  <property fmtid="{D5CDD505-2E9C-101B-9397-08002B2CF9AE}" pid="3" name="_AdHocReviewCycleID">
    <vt:i4>-2144159094</vt:i4>
  </property>
  <property fmtid="{D5CDD505-2E9C-101B-9397-08002B2CF9AE}" pid="4" name="_NewReviewCycle">
    <vt:lpwstr/>
  </property>
  <property fmtid="{D5CDD505-2E9C-101B-9397-08002B2CF9AE}" pid="5" name="_EmailSubject">
    <vt:lpwstr>XPSA - Comp. Claims Task Force - Notes from Conf. Call March 25, 2021</vt:lpwstr>
  </property>
  <property fmtid="{D5CDD505-2E9C-101B-9397-08002B2CF9AE}" pid="6" name="_AuthorEmail">
    <vt:lpwstr>HSchmitz@kellencompany.com</vt:lpwstr>
  </property>
  <property fmtid="{D5CDD505-2E9C-101B-9397-08002B2CF9AE}" pid="7" name="_AuthorEmailDisplayName">
    <vt:lpwstr>Schmitz, Harry</vt:lpwstr>
  </property>
</Properties>
</file>